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BC" w:rsidRPr="00882E5C" w:rsidRDefault="007051BC" w:rsidP="007051BC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7051BC" w:rsidRPr="00882E5C" w:rsidTr="00762303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B13FE" w:rsidRDefault="00DB13FE" w:rsidP="00B6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35D" w:rsidRPr="00DB13FE" w:rsidRDefault="00DB13FE" w:rsidP="00B6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3FE">
              <w:rPr>
                <w:rFonts w:ascii="Arial" w:hAnsi="Arial" w:cs="Arial"/>
                <w:b/>
                <w:sz w:val="24"/>
                <w:szCs w:val="24"/>
              </w:rPr>
              <w:t xml:space="preserve">INDSATSPLAN – </w:t>
            </w:r>
            <w:r w:rsidR="00176D75">
              <w:rPr>
                <w:rFonts w:ascii="Arial" w:hAnsi="Arial" w:cs="Arial"/>
                <w:b/>
                <w:sz w:val="24"/>
                <w:szCs w:val="24"/>
              </w:rPr>
              <w:t>VOLD OG TRUSLER IMOD BORGERE TILKNYTTET FORSORGSCENTER VIBORG</w:t>
            </w:r>
          </w:p>
          <w:p w:rsidR="00556AA4" w:rsidRPr="00882E5C" w:rsidRDefault="00556AA4" w:rsidP="00556AA4">
            <w:pPr>
              <w:jc w:val="center"/>
              <w:rPr>
                <w:rFonts w:ascii="Verdana" w:hAnsi="Verdana"/>
                <w:b/>
              </w:rPr>
            </w:pPr>
          </w:p>
          <w:p w:rsidR="007051BC" w:rsidRPr="00882E5C" w:rsidRDefault="007051BC" w:rsidP="007051BC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176D75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Pr="00882E5C" w:rsidRDefault="00176D75" w:rsidP="00176D75">
            <w:pPr>
              <w:rPr>
                <w:rFonts w:ascii="Verdana" w:hAnsi="Verdana"/>
                <w:b/>
                <w:color w:val="FF0000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Situation</w:t>
            </w:r>
          </w:p>
          <w:p w:rsidR="00176D75" w:rsidRPr="00882E5C" w:rsidRDefault="00176D75" w:rsidP="00176D75">
            <w:pPr>
              <w:rPr>
                <w:rFonts w:ascii="Verdana" w:hAnsi="Verdana"/>
              </w:rPr>
            </w:pPr>
          </w:p>
          <w:p w:rsidR="00176D75" w:rsidRPr="00882E5C" w:rsidRDefault="00176D75" w:rsidP="00176D7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FC" w:rsidRDefault="000348FC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6D75" w:rsidRPr="0095312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Forsorgscenter Viborg</w:t>
            </w:r>
            <w:r w:rsidR="00A32A65">
              <w:rPr>
                <w:rFonts w:ascii="Arial" w:hAnsi="Arial" w:cs="Arial"/>
                <w:sz w:val="24"/>
                <w:szCs w:val="24"/>
              </w:rPr>
              <w:t xml:space="preserve"> arbejdsområde</w:t>
            </w:r>
            <w:r>
              <w:rPr>
                <w:rFonts w:ascii="Arial" w:hAnsi="Arial" w:cs="Arial"/>
                <w:sz w:val="24"/>
                <w:szCs w:val="24"/>
              </w:rPr>
              <w:t xml:space="preserve"> accepterer vi ikke </w:t>
            </w:r>
            <w:r w:rsidR="000348FC">
              <w:rPr>
                <w:rFonts w:ascii="Arial" w:hAnsi="Arial" w:cs="Arial"/>
                <w:sz w:val="24"/>
                <w:szCs w:val="24"/>
              </w:rPr>
              <w:t>vold eller trusler.</w:t>
            </w:r>
          </w:p>
          <w:p w:rsidR="00176D75" w:rsidRPr="0095312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>I det omfang det alligevel måtte forekomme, er det et fælles fagligt og arbejdsmiljø</w:t>
            </w:r>
            <w:r>
              <w:rPr>
                <w:rFonts w:ascii="Arial" w:hAnsi="Arial" w:cs="Arial"/>
                <w:sz w:val="24"/>
                <w:szCs w:val="24"/>
              </w:rPr>
              <w:t>mæssigt</w:t>
            </w:r>
            <w:r w:rsidRPr="00953125">
              <w:rPr>
                <w:rFonts w:ascii="Arial" w:hAnsi="Arial" w:cs="Arial"/>
                <w:sz w:val="24"/>
                <w:szCs w:val="24"/>
              </w:rPr>
              <w:t xml:space="preserve"> problem, der skal løses i fællesskab.</w:t>
            </w:r>
          </w:p>
          <w:p w:rsidR="00176D75" w:rsidRPr="0095312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b/>
                <w:bCs/>
                <w:sz w:val="24"/>
                <w:szCs w:val="24"/>
              </w:rPr>
              <w:t>Ved vold forstås:</w:t>
            </w:r>
          </w:p>
          <w:p w:rsidR="00176D75" w:rsidRPr="00953125" w:rsidRDefault="00176D75" w:rsidP="00176D7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Adfærd der indebære</w:t>
            </w:r>
            <w:r w:rsidR="00644D3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 xml:space="preserve"> en krænkelse eller risiko for en anden persons sikkerhed. </w:t>
            </w:r>
          </w:p>
          <w:p w:rsidR="00176D75" w:rsidRPr="00953125" w:rsidRDefault="00176D75" w:rsidP="00176D7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Det kan være skub, benspænd, fastholdelse, kast med genstande, bid, niv, krads, spyt, slag, spark, kvælningsforsøg, knivstik mv.</w:t>
            </w:r>
          </w:p>
          <w:p w:rsidR="00176D75" w:rsidRPr="00953125" w:rsidRDefault="00176D75" w:rsidP="00176D75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Anden udadreagerende adfærd i form af hærværk og smadring af ting, vinduer mv i ens umiddelbare nærhed.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85D8F">
              <w:rPr>
                <w:rFonts w:ascii="Arial" w:hAnsi="Arial" w:cs="Arial"/>
                <w:color w:val="000000"/>
                <w:sz w:val="24"/>
                <w:szCs w:val="24"/>
              </w:rPr>
              <w:t>Situationer der udløser voldsomme følelser.</w:t>
            </w:r>
          </w:p>
          <w:p w:rsidR="00176D75" w:rsidRPr="0095312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b/>
                <w:bCs/>
                <w:sz w:val="24"/>
                <w:szCs w:val="24"/>
              </w:rPr>
              <w:t>Ved trusler forstås:</w:t>
            </w:r>
          </w:p>
          <w:p w:rsidR="00176D75" w:rsidRPr="00953125" w:rsidRDefault="00176D75" w:rsidP="00176D7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 xml:space="preserve">Verbale trusler,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(også tlf. trusler) 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herunder trusler på livet, trusler om fysisk hærværk, eller trusler der vedrøre</w:t>
            </w:r>
            <w:r w:rsidR="00644D3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348FC">
              <w:rPr>
                <w:rFonts w:ascii="Arial" w:hAnsi="Arial" w:cs="Arial"/>
                <w:color w:val="000000"/>
                <w:sz w:val="24"/>
                <w:szCs w:val="24"/>
              </w:rPr>
              <w:t xml:space="preserve">borgerens 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familie, venner, andre nærtstående personer eller ejendele.</w:t>
            </w:r>
          </w:p>
          <w:p w:rsidR="00176D75" w:rsidRPr="00953125" w:rsidRDefault="00176D75" w:rsidP="00176D75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Truende adfærd med knytnæve eller genstande der kan gøre skade, afspærring af flugtveje, bevægelse af finger over halsen mv., eller tegninger, SMS, mail mv med truende indhold.</w:t>
            </w:r>
          </w:p>
          <w:p w:rsidR="00176D75" w:rsidRPr="00882E5C" w:rsidRDefault="00176D75" w:rsidP="000348FC">
            <w:pPr>
              <w:shd w:val="clear" w:color="auto" w:fill="FFFFFF"/>
              <w:spacing w:line="240" w:lineRule="auto"/>
              <w:rPr>
                <w:rFonts w:ascii="Verdana" w:hAnsi="Verdana"/>
              </w:rPr>
            </w:pPr>
          </w:p>
        </w:tc>
      </w:tr>
      <w:tr w:rsidR="00176D75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Pr="00DB13FE" w:rsidRDefault="00176D75" w:rsidP="00176D7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Alarmering</w:t>
            </w:r>
          </w:p>
          <w:p w:rsidR="00176D75" w:rsidRPr="00DB13FE" w:rsidRDefault="00176D75" w:rsidP="0017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Default="00176D75" w:rsidP="00176D75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Alarmering kan komme fra direkte involverede eller vidner.</w:t>
            </w:r>
          </w:p>
          <w:p w:rsidR="00176D7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lastRenderedPageBreak/>
              <w:t>Alarmering kan ske via anråbelse, telefonop</w:t>
            </w:r>
            <w:r w:rsidR="00A32A65">
              <w:rPr>
                <w:rFonts w:ascii="Arial" w:hAnsi="Arial" w:cs="Arial"/>
                <w:sz w:val="24"/>
                <w:szCs w:val="24"/>
              </w:rPr>
              <w:t>kald elle</w:t>
            </w:r>
            <w:r w:rsidR="00644D39">
              <w:rPr>
                <w:rFonts w:ascii="Arial" w:hAnsi="Arial" w:cs="Arial"/>
                <w:sz w:val="24"/>
                <w:szCs w:val="24"/>
              </w:rPr>
              <w:t>r tryk på alarmen bærbar tlf. (</w:t>
            </w:r>
            <w:r w:rsidR="00A32A65">
              <w:rPr>
                <w:rFonts w:ascii="Arial" w:hAnsi="Arial" w:cs="Arial"/>
                <w:sz w:val="24"/>
                <w:szCs w:val="24"/>
              </w:rPr>
              <w:t xml:space="preserve">2 hurtige tryg på øverste knap alarmere </w:t>
            </w:r>
            <w:r w:rsidR="00644D39">
              <w:rPr>
                <w:rFonts w:ascii="Arial" w:hAnsi="Arial" w:cs="Arial"/>
                <w:sz w:val="24"/>
                <w:szCs w:val="24"/>
              </w:rPr>
              <w:t>kolleger</w:t>
            </w:r>
            <w:r w:rsidR="00A32A6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76D75" w:rsidRPr="00A32A65" w:rsidRDefault="00A32A65" w:rsidP="00A32A6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 xml:space="preserve">Ring </w:t>
            </w: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Pr="00953125">
              <w:rPr>
                <w:rFonts w:ascii="Arial" w:hAnsi="Arial" w:cs="Arial"/>
                <w:sz w:val="24"/>
                <w:szCs w:val="24"/>
              </w:rPr>
              <w:t xml:space="preserve">1-1-2 hvis situationen vurderes at være af en sådan karakter, at man ikke sikkert kan håndtere den selv. </w:t>
            </w:r>
            <w:r>
              <w:rPr>
                <w:rFonts w:ascii="Arial" w:hAnsi="Arial" w:cs="Arial"/>
                <w:sz w:val="24"/>
                <w:szCs w:val="24"/>
              </w:rPr>
              <w:t>Direkte alarm til politiet forefindes under skrivebord op af vindue til personalerum og under bordet ” skranken ” i højre side.</w:t>
            </w:r>
          </w:p>
        </w:tc>
      </w:tr>
      <w:tr w:rsidR="00176D75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Pr="00DB13FE" w:rsidRDefault="00176D75" w:rsidP="00176D7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Opgaver </w:t>
            </w:r>
          </w:p>
          <w:p w:rsidR="00176D75" w:rsidRPr="00DB13FE" w:rsidRDefault="00176D75" w:rsidP="0017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Default="00176D75" w:rsidP="00176D75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Den primære opgave er så vidt muligt at forhindre at nogen kommer til fysisk eller psykisk skade.</w:t>
            </w:r>
          </w:p>
          <w:p w:rsidR="00176D7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Kommer nogen til skade er opgaven at sikre den bedst mulige opfølgning, for at forebygge varigt traume.</w:t>
            </w:r>
          </w:p>
          <w:p w:rsidR="00A32A65" w:rsidRPr="005F6045" w:rsidRDefault="00A32A6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Sikre borgeren imod vold og trusler, dette kan evt. ske ved at skærme borgeren inde i modtagelsen, hvis det er på Vibohøj.</w:t>
            </w:r>
          </w:p>
          <w:p w:rsidR="00176D75" w:rsidRPr="00DB13FE" w:rsidRDefault="00A32A65" w:rsidP="00176D75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Hvis det er en borger </w:t>
            </w:r>
            <w:r w:rsidR="00046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der er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tilknyttet Vibohøj der udsættes for trusler eller trusler om vold, kontaktes Vibohøj, om det er mulig</w:t>
            </w:r>
            <w:r w:rsidR="00EB68B8">
              <w:rPr>
                <w:rFonts w:ascii="Arial" w:eastAsia="Calibri" w:hAnsi="Arial" w:cs="Arial"/>
                <w:sz w:val="24"/>
                <w:szCs w:val="24"/>
                <w:lang w:eastAsia="en-US"/>
              </w:rPr>
              <w:t>t at ” låne ” modtagelsen til at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iværksætte at borgeren bliver skærmet</w:t>
            </w:r>
            <w:r w:rsidR="00046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eller anden kortvarig løsning.</w:t>
            </w:r>
          </w:p>
        </w:tc>
      </w:tr>
      <w:tr w:rsidR="00176D75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Pr="00DB13FE" w:rsidRDefault="00176D75" w:rsidP="00176D7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Handling</w:t>
            </w:r>
          </w:p>
          <w:p w:rsidR="00176D75" w:rsidRPr="00DB13FE" w:rsidRDefault="00176D75" w:rsidP="0017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D75" w:rsidRPr="00DB13FE" w:rsidRDefault="00176D75" w:rsidP="0017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D75" w:rsidRPr="00DB13FE" w:rsidRDefault="00176D75" w:rsidP="00176D75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5" w:rsidRDefault="00176D75" w:rsidP="00176D7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76D7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Anråbe overfaldsmanden om at stoppe.</w:t>
            </w:r>
          </w:p>
          <w:p w:rsidR="00762303" w:rsidRPr="005F6045" w:rsidRDefault="00EB68B8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Personalet</w:t>
            </w:r>
            <w:r w:rsidR="00762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CA3">
              <w:rPr>
                <w:rFonts w:ascii="Arial" w:hAnsi="Arial" w:cs="Arial"/>
                <w:sz w:val="24"/>
                <w:szCs w:val="24"/>
              </w:rPr>
              <w:t xml:space="preserve">bør </w:t>
            </w:r>
            <w:r w:rsidR="00762303">
              <w:rPr>
                <w:rFonts w:ascii="Arial" w:hAnsi="Arial" w:cs="Arial"/>
                <w:sz w:val="24"/>
                <w:szCs w:val="24"/>
              </w:rPr>
              <w:t>som udgangspunkt ikke blande sig i en vold</w:t>
            </w:r>
            <w:r w:rsidR="003E0CA3">
              <w:rPr>
                <w:rFonts w:ascii="Arial" w:hAnsi="Arial" w:cs="Arial"/>
                <w:sz w:val="24"/>
                <w:szCs w:val="24"/>
              </w:rPr>
              <w:t>s-</w:t>
            </w:r>
            <w:r w:rsidR="00762303">
              <w:rPr>
                <w:rFonts w:ascii="Arial" w:hAnsi="Arial" w:cs="Arial"/>
                <w:sz w:val="24"/>
                <w:szCs w:val="24"/>
              </w:rPr>
              <w:t xml:space="preserve"> eller trusselskonflikt blandt borgerne, men skal alarmere og observere.</w:t>
            </w: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 xml:space="preserve">Ring </w:t>
            </w:r>
            <w:r w:rsidR="003E0CA3">
              <w:rPr>
                <w:rFonts w:ascii="Arial" w:hAnsi="Arial" w:cs="Arial"/>
                <w:sz w:val="24"/>
                <w:szCs w:val="24"/>
              </w:rPr>
              <w:t>0-</w:t>
            </w:r>
            <w:r w:rsidRPr="005F6045">
              <w:rPr>
                <w:rFonts w:ascii="Arial" w:hAnsi="Arial" w:cs="Arial"/>
                <w:sz w:val="24"/>
                <w:szCs w:val="24"/>
              </w:rPr>
              <w:t>1-1-2 hvis det er en akut situation.</w:t>
            </w: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 xml:space="preserve">Ring </w:t>
            </w:r>
            <w:r w:rsidR="003E0CA3">
              <w:rPr>
                <w:rFonts w:ascii="Arial" w:hAnsi="Arial" w:cs="Arial"/>
                <w:sz w:val="24"/>
                <w:szCs w:val="24"/>
              </w:rPr>
              <w:t>0-</w:t>
            </w:r>
            <w:r w:rsidRPr="005F6045">
              <w:rPr>
                <w:rFonts w:ascii="Arial" w:hAnsi="Arial" w:cs="Arial"/>
                <w:sz w:val="24"/>
                <w:szCs w:val="24"/>
              </w:rPr>
              <w:t>1-1-4 hvis det er en episode, der er sket tidligere, og efterfølgende kommer til medarbejdernes opmærksomhed.</w:t>
            </w: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Hjælp borgeren med at få anmeldt overfaldet.</w:t>
            </w:r>
          </w:p>
          <w:p w:rsidR="00176D75" w:rsidRPr="005F6045" w:rsidRDefault="00176D75" w:rsidP="00176D75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6045">
              <w:rPr>
                <w:rFonts w:ascii="Arial" w:hAnsi="Arial" w:cs="Arial"/>
                <w:sz w:val="24"/>
                <w:szCs w:val="24"/>
              </w:rPr>
              <w:t>Yd psykisk hjælp til den voldsramte borger.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Lad ikke den voldsramte være alene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Skab ro og tryghed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Lyt til den voldsramte – lad vedkommende fortælle, hvad der er sket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Undgå at bagatellisere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Undgå at kritisere den voldsramtes handlinger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Undgå at belære om, hvad man kunne have gjort i stedet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Hjælpe evt. med at kontakte familie og pårørende </w:t>
            </w:r>
          </w:p>
          <w:p w:rsidR="00176D75" w:rsidRPr="005F604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 xml:space="preserve">Følg evt. den voldsramte hjem </w:t>
            </w:r>
          </w:p>
          <w:p w:rsidR="00176D75" w:rsidRDefault="00176D75" w:rsidP="00176D75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45">
              <w:rPr>
                <w:rFonts w:ascii="Arial" w:hAnsi="Arial" w:cs="Arial"/>
                <w:color w:val="000000"/>
                <w:sz w:val="24"/>
                <w:szCs w:val="24"/>
              </w:rPr>
              <w:t>Sørg evt. for at den voldsramte ikke er alene det første døgn</w:t>
            </w:r>
          </w:p>
          <w:p w:rsidR="00762303" w:rsidRDefault="00046F46" w:rsidP="00046F46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Hvis det drejer sig om trusler vejled</w:t>
            </w:r>
            <w:r w:rsidR="00EB68B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borgeren omkring </w:t>
            </w:r>
            <w:r w:rsidR="00EB68B8">
              <w:rPr>
                <w:rFonts w:ascii="Arial" w:hAnsi="Arial" w:cs="Arial"/>
                <w:color w:val="000000"/>
                <w:sz w:val="24"/>
                <w:szCs w:val="24"/>
              </w:rPr>
              <w:t xml:space="preserve">evt.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anmeldelse til politiet</w:t>
            </w:r>
            <w:r w:rsidR="0076230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46F46" w:rsidRDefault="00762303" w:rsidP="00046F46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Det er vigtigt at få alle de observationer vi som personale har i journalen, da dette kan være vigtigt i en evt. efterfølgende retssag. </w:t>
            </w:r>
          </w:p>
          <w:p w:rsidR="00046F46" w:rsidRPr="00953125" w:rsidRDefault="00046F46" w:rsidP="00046F46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b/>
                <w:bCs/>
                <w:sz w:val="24"/>
                <w:szCs w:val="24"/>
              </w:rPr>
              <w:t>Efterbehandling af vold og trusler om vold:</w:t>
            </w:r>
          </w:p>
          <w:p w:rsidR="00176D75" w:rsidRPr="00762303" w:rsidRDefault="00046F46" w:rsidP="00176D7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 xml:space="preserve">Den præcise efterbehandling </w:t>
            </w:r>
            <w:r w:rsidR="003E0CA3">
              <w:rPr>
                <w:rFonts w:ascii="Arial" w:hAnsi="Arial" w:cs="Arial"/>
                <w:color w:val="000000"/>
                <w:sz w:val="24"/>
                <w:szCs w:val="24"/>
              </w:rPr>
              <w:t>håndteres ud fra individuel konkret vurdering, bør som minimum altid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 xml:space="preserve">. indeholde,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psykisk</w:t>
            </w:r>
            <w:r w:rsidR="003E0CA3">
              <w:rPr>
                <w:rFonts w:ascii="Arial" w:hAnsi="Arial" w:cs="Arial"/>
                <w:color w:val="000000"/>
                <w:sz w:val="24"/>
                <w:szCs w:val="24"/>
              </w:rPr>
              <w:t xml:space="preserve"> førstehjælp ved en medarbejder. E</w:t>
            </w:r>
            <w:r w:rsidRPr="00953125">
              <w:rPr>
                <w:rFonts w:ascii="Arial" w:hAnsi="Arial" w:cs="Arial"/>
                <w:color w:val="000000"/>
                <w:sz w:val="24"/>
                <w:szCs w:val="24"/>
              </w:rPr>
              <w:t>fterfølgende forløb hos psykolog og debriefing mv.</w:t>
            </w:r>
            <w:r w:rsidR="003E0CA3"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ftales efterfølgende.</w:t>
            </w: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Ledelse og organisation </w:t>
            </w:r>
          </w:p>
          <w:p w:rsidR="00762303" w:rsidRPr="00DB13FE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953125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>Tilstedeværende personale tager ledelsen af håndteringen af den konkrete volds eller trussels episode i det den opstår.</w:t>
            </w:r>
          </w:p>
          <w:p w:rsidR="00762303" w:rsidRPr="00953125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>Er der ledelse til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125">
              <w:rPr>
                <w:rFonts w:ascii="Arial" w:hAnsi="Arial" w:cs="Arial"/>
                <w:sz w:val="24"/>
                <w:szCs w:val="24"/>
              </w:rPr>
              <w:t>stede på tidspunktet for episoden inddrages denne hurtigst muligt og overtager ledelsen af håndteringen af episoden.</w:t>
            </w:r>
          </w:p>
          <w:p w:rsidR="00762303" w:rsidRPr="00953125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 xml:space="preserve">Lokal-MED er ansvarlig for arbejdsmiljøarbejdet på tilbuddene. </w:t>
            </w:r>
          </w:p>
          <w:p w:rsidR="00762303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>Lokal-MED skal derfor have udarbejdet lokale retningslinjer for håndtering af vold og trusler om vold.</w:t>
            </w:r>
          </w:p>
          <w:p w:rsidR="00762303" w:rsidRPr="001B2445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B2445">
              <w:rPr>
                <w:rFonts w:ascii="Arial" w:hAnsi="Arial" w:cs="Arial"/>
                <w:i/>
                <w:sz w:val="24"/>
                <w:szCs w:val="24"/>
              </w:rPr>
              <w:t>Vibohøjs samlede volds- og konflikthåndtering er samlet i Arbejdsmiljømappen på Vivis kontor.</w:t>
            </w:r>
          </w:p>
          <w:p w:rsidR="00762303" w:rsidRPr="00DB13FE" w:rsidRDefault="00762303" w:rsidP="00762303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Episoden skal vurderes på AM</w:t>
            </w:r>
            <w:r w:rsidR="003E0C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G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møde og efterfølgende på LokalMED møde for evt. at kunne imødegå en lignende episode i fremtiden.</w:t>
            </w: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Bemanding og udstyr</w:t>
            </w:r>
          </w:p>
          <w:p w:rsidR="00762303" w:rsidRPr="00DB13FE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303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Personalet på Forsorgscentret bærer som udgangspunkt en bærbar telefon med alarmknap.</w:t>
            </w:r>
          </w:p>
          <w:p w:rsidR="00762303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Alarmknap under borde, til direkte alarm til politiet i modtagelsen.</w:t>
            </w:r>
          </w:p>
          <w:p w:rsidR="00762303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På skæve tidspunkter er der altid 2 medarbejdere på arbejde.</w:t>
            </w:r>
          </w:p>
          <w:p w:rsidR="00EB68B8" w:rsidRDefault="00EB68B8" w:rsidP="00762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medarbejder der er alene ude hos en borger, kontakter Vibohøj, der har 24/7 bemanding og sin teamleder.</w:t>
            </w:r>
          </w:p>
          <w:p w:rsidR="00762303" w:rsidRPr="00DB13FE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Kommunikation</w:t>
            </w:r>
          </w:p>
          <w:p w:rsidR="00762303" w:rsidRPr="00DB13FE" w:rsidRDefault="00762303" w:rsidP="0076230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Default="00762303" w:rsidP="00762303">
            <w:pPr>
              <w:spacing w:line="280" w:lineRule="atLeas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762303" w:rsidRPr="00953125" w:rsidRDefault="00762303" w:rsidP="007623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125">
              <w:rPr>
                <w:rFonts w:ascii="Arial" w:hAnsi="Arial" w:cs="Arial"/>
                <w:sz w:val="24"/>
                <w:szCs w:val="24"/>
              </w:rPr>
              <w:t>Alle epi</w:t>
            </w:r>
            <w:r>
              <w:rPr>
                <w:rFonts w:ascii="Arial" w:hAnsi="Arial" w:cs="Arial"/>
                <w:sz w:val="24"/>
                <w:szCs w:val="24"/>
              </w:rPr>
              <w:t>soder doku</w:t>
            </w:r>
            <w:r w:rsidR="00644D39">
              <w:rPr>
                <w:rFonts w:ascii="Arial" w:hAnsi="Arial" w:cs="Arial"/>
                <w:sz w:val="24"/>
                <w:szCs w:val="24"/>
              </w:rPr>
              <w:t>menteres i Forsorgscentrets edb-</w:t>
            </w:r>
            <w:r>
              <w:rPr>
                <w:rFonts w:ascii="Arial" w:hAnsi="Arial" w:cs="Arial"/>
                <w:sz w:val="24"/>
                <w:szCs w:val="24"/>
              </w:rPr>
              <w:t>system, døgnrapport samt i borgerens/borgernes journal.</w:t>
            </w:r>
          </w:p>
          <w:p w:rsidR="00762303" w:rsidRPr="00DB13FE" w:rsidRDefault="00762303" w:rsidP="00762303">
            <w:pPr>
              <w:spacing w:line="280" w:lineRule="atLeas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Kontaktoplysninger</w:t>
            </w:r>
          </w:p>
          <w:p w:rsidR="00762303" w:rsidRPr="00DB13FE" w:rsidRDefault="00762303" w:rsidP="0076230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Evt. andre vigtige opmærksomhedspunkter</w:t>
            </w:r>
          </w:p>
          <w:p w:rsidR="00762303" w:rsidRPr="00DB13FE" w:rsidRDefault="00762303" w:rsidP="00762303">
            <w:pPr>
              <w:spacing w:line="280" w:lineRule="atLeast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Default="00762303" w:rsidP="007623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B66" w:rsidRPr="00DB13FE" w:rsidRDefault="00FD4B66" w:rsidP="00762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Hvis en hændelse har været traumatisk for medarbejderen skal der tages hånd om dette, se indsatsplan. </w:t>
            </w:r>
            <w:r w:rsidR="003E0CA3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Vold og trusler mod ansatte på Forsorgscenter Viborg</w:t>
            </w:r>
            <w:r w:rsidR="003E0CA3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Oprettelse/revision</w:t>
            </w:r>
          </w:p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Default="00762303" w:rsidP="00762303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0CA3" w:rsidRPr="00DB13FE" w:rsidRDefault="00FD4B66" w:rsidP="003E0CA3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Denne indsatsplan er udarbejdet</w:t>
            </w:r>
            <w:r w:rsidR="00644D39">
              <w:rPr>
                <w:rFonts w:ascii="Arial" w:eastAsia="Calibri" w:hAnsi="Arial" w:cs="Arial"/>
                <w:sz w:val="24"/>
                <w:szCs w:val="24"/>
              </w:rPr>
              <w:t xml:space="preserve"> jan/feb 2018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af AMG på Forsorgscenter Viborg </w:t>
            </w:r>
          </w:p>
          <w:p w:rsidR="00FD4B66" w:rsidRPr="00DB13FE" w:rsidRDefault="00FD4B66" w:rsidP="00762303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2303" w:rsidRPr="00882E5C" w:rsidTr="007623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13FE" w:rsidRDefault="00762303" w:rsidP="0076230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Action cards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3" w:rsidRPr="00DB5E6E" w:rsidRDefault="00762303" w:rsidP="00762303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77177" w:rsidRPr="00882E5C" w:rsidRDefault="00177177">
      <w:pPr>
        <w:rPr>
          <w:rFonts w:ascii="Verdana" w:hAnsi="Verdana"/>
          <w:sz w:val="20"/>
          <w:szCs w:val="20"/>
        </w:rPr>
      </w:pPr>
    </w:p>
    <w:sectPr w:rsidR="00177177" w:rsidRPr="00882E5C" w:rsidSect="00A2624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03" w:rsidRDefault="00762303">
      <w:pPr>
        <w:spacing w:after="0" w:line="240" w:lineRule="auto"/>
      </w:pPr>
      <w:r>
        <w:separator/>
      </w:r>
    </w:p>
  </w:endnote>
  <w:endnote w:type="continuationSeparator" w:id="0">
    <w:p w:rsidR="00762303" w:rsidRDefault="0076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21353"/>
      <w:docPartObj>
        <w:docPartGallery w:val="Page Numbers (Bottom of Page)"/>
        <w:docPartUnique/>
      </w:docPartObj>
    </w:sdtPr>
    <w:sdtEndPr/>
    <w:sdtContent>
      <w:p w:rsidR="00762303" w:rsidRDefault="0076230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73A">
          <w:rPr>
            <w:noProof/>
          </w:rPr>
          <w:t>1</w:t>
        </w:r>
        <w:r>
          <w:fldChar w:fldCharType="end"/>
        </w:r>
      </w:p>
    </w:sdtContent>
  </w:sdt>
  <w:p w:rsidR="00762303" w:rsidRDefault="007623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03" w:rsidRDefault="00762303">
      <w:pPr>
        <w:spacing w:after="0" w:line="240" w:lineRule="auto"/>
      </w:pPr>
      <w:r>
        <w:separator/>
      </w:r>
    </w:p>
  </w:footnote>
  <w:footnote w:type="continuationSeparator" w:id="0">
    <w:p w:rsidR="00762303" w:rsidRDefault="0076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303" w:rsidRDefault="00762303" w:rsidP="00DB5E6E">
    <w:pPr>
      <w:pStyle w:val="Sidehoved"/>
      <w:jc w:val="center"/>
      <w:rPr>
        <w:b/>
        <w:color w:val="808080" w:themeColor="background1" w:themeShade="80"/>
        <w:sz w:val="20"/>
      </w:rPr>
    </w:pPr>
    <w:r w:rsidRPr="00DB5E6E">
      <w:rPr>
        <w:b/>
        <w:color w:val="808080" w:themeColor="background1" w:themeShade="80"/>
        <w:sz w:val="20"/>
      </w:rPr>
      <w:t>INDSATSPLAN UDARBEJDET PÅ FORSORGSCENTER VIBORG.</w:t>
    </w:r>
  </w:p>
  <w:p w:rsidR="00594406" w:rsidRPr="00DB5E6E" w:rsidRDefault="00594406" w:rsidP="00DB5E6E">
    <w:pPr>
      <w:pStyle w:val="Sidehoved"/>
      <w:jc w:val="center"/>
      <w:rPr>
        <w:b/>
        <w:color w:val="808080" w:themeColor="background1" w:themeShade="80"/>
        <w:sz w:val="20"/>
      </w:rPr>
    </w:pPr>
    <w:r>
      <w:rPr>
        <w:b/>
        <w:color w:val="808080" w:themeColor="background1" w:themeShade="80"/>
        <w:sz w:val="20"/>
      </w:rPr>
      <w:t>Ver1</w:t>
    </w:r>
  </w:p>
  <w:p w:rsidR="00762303" w:rsidRDefault="00762303" w:rsidP="00DB5E6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2CD"/>
    <w:multiLevelType w:val="hybridMultilevel"/>
    <w:tmpl w:val="5A7E0CC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AA"/>
    <w:multiLevelType w:val="hybridMultilevel"/>
    <w:tmpl w:val="CE5407D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E37"/>
    <w:multiLevelType w:val="hybridMultilevel"/>
    <w:tmpl w:val="ACE4361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3DC1"/>
    <w:multiLevelType w:val="hybridMultilevel"/>
    <w:tmpl w:val="55CA8CA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8D5"/>
    <w:multiLevelType w:val="multilevel"/>
    <w:tmpl w:val="BB8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8C11C8"/>
    <w:multiLevelType w:val="hybridMultilevel"/>
    <w:tmpl w:val="A360218A"/>
    <w:lvl w:ilvl="0" w:tplc="169CCF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1215"/>
    <w:multiLevelType w:val="multilevel"/>
    <w:tmpl w:val="D7FA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507A"/>
    <w:multiLevelType w:val="multilevel"/>
    <w:tmpl w:val="633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85BB4"/>
    <w:multiLevelType w:val="multilevel"/>
    <w:tmpl w:val="82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987958"/>
    <w:multiLevelType w:val="hybridMultilevel"/>
    <w:tmpl w:val="E01AFC5E"/>
    <w:lvl w:ilvl="0" w:tplc="4A04E15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7AF0359"/>
    <w:multiLevelType w:val="multilevel"/>
    <w:tmpl w:val="57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56570B"/>
    <w:multiLevelType w:val="hybridMultilevel"/>
    <w:tmpl w:val="5282D0F6"/>
    <w:lvl w:ilvl="0" w:tplc="0DB2BF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480E"/>
    <w:multiLevelType w:val="hybridMultilevel"/>
    <w:tmpl w:val="C6E0099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BC"/>
    <w:rsid w:val="000348FC"/>
    <w:rsid w:val="00046F46"/>
    <w:rsid w:val="00176D75"/>
    <w:rsid w:val="00177177"/>
    <w:rsid w:val="001A2075"/>
    <w:rsid w:val="001D535B"/>
    <w:rsid w:val="001E31A9"/>
    <w:rsid w:val="0021295D"/>
    <w:rsid w:val="002C4EBD"/>
    <w:rsid w:val="003E0CA3"/>
    <w:rsid w:val="004234D1"/>
    <w:rsid w:val="00556AA4"/>
    <w:rsid w:val="00594406"/>
    <w:rsid w:val="005F6045"/>
    <w:rsid w:val="00644D39"/>
    <w:rsid w:val="006913B3"/>
    <w:rsid w:val="007051BC"/>
    <w:rsid w:val="00732468"/>
    <w:rsid w:val="00762303"/>
    <w:rsid w:val="00802860"/>
    <w:rsid w:val="00882E5C"/>
    <w:rsid w:val="00A26248"/>
    <w:rsid w:val="00A32A65"/>
    <w:rsid w:val="00A7483C"/>
    <w:rsid w:val="00A9773A"/>
    <w:rsid w:val="00B534DA"/>
    <w:rsid w:val="00B6135D"/>
    <w:rsid w:val="00D560AF"/>
    <w:rsid w:val="00DB13FE"/>
    <w:rsid w:val="00DB5E6E"/>
    <w:rsid w:val="00E20C09"/>
    <w:rsid w:val="00EA0B06"/>
    <w:rsid w:val="00EB68B8"/>
    <w:rsid w:val="00F81361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50845-DD3D-4211-82C4-56AF150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1B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7051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BC"/>
  </w:style>
  <w:style w:type="paragraph" w:styleId="Sidefod">
    <w:name w:val="footer"/>
    <w:basedOn w:val="Normal"/>
    <w:link w:val="Sidefo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BC"/>
  </w:style>
  <w:style w:type="paragraph" w:styleId="Listeafsnit">
    <w:name w:val="List Paragraph"/>
    <w:basedOn w:val="Normal"/>
    <w:uiPriority w:val="34"/>
    <w:qFormat/>
    <w:rsid w:val="007051B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7051BC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7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4412-3AFF-47BB-810E-DF4FF4FD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 Henriksen</dc:creator>
  <cp:lastModifiedBy>Mikael Rolle</cp:lastModifiedBy>
  <cp:revision>2</cp:revision>
  <cp:lastPrinted>2018-02-10T18:53:00Z</cp:lastPrinted>
  <dcterms:created xsi:type="dcterms:W3CDTF">2018-06-27T09:18:00Z</dcterms:created>
  <dcterms:modified xsi:type="dcterms:W3CDTF">2018-06-27T09:18:00Z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{7D5534A8-D208-4635-88C5-AF435C8C8ECE}</vt:lpwstr>
  </property>
</Properties>
</file>